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dd30247948f4f65"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243</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LEADER IALOMITA VEST</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M4 Servicii publice si infrastructura la scara mica in teritoriul GAL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212529"/>
                <w:sz w:val="24"/>
                <w:shd w:val="clear" w:fill="FFFFFF"/>
              </w:rPr>
              <w:t>EG 1</w:t>
            </w:r>
          </w:p>
        </w:tc>
        <w:tc>
          <w:tcPr>
            <w:vAlign w:val="center"/>
          </w:tcPr>
          <w:p>
            <w:r>
              <w:rPr>
                <w:rFonts w:ascii="Cambria Bold" w:hAnsi="Cambria Bold"/>
                <w:b/>
                <w:color w:val="212529"/>
                <w:sz w:val="24"/>
                <w:shd w:val="clear" w:fill="FFFFFF"/>
              </w:rPr>
              <w:t>Sediul social să fie pe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color w:val="212529"/>
                <w:sz w:val="24"/>
                <w:shd w:val="clear" w:fill="FFFFFF"/>
              </w:rPr>
              <w:t>Se va verifica dacă sediul social al solicitantului este înregistrat pe teritoriul GAL.</w:t>
            </w:r>
          </w:p>
          <w:p>
            <w:pPr>
              <w:spacing w:line="360" w:lineRule="auto"/>
              <w:ind w:left="0" w:right="0" w:firstLine="493"/>
            </w:pPr>
            <w:r>
              <w:rPr>
                <w:rFonts w:ascii="Cambria" w:hAnsi="Cambria"/>
                <w:b w:val="false"/>
                <w:color w:val="212529"/>
                <w:sz w:val="24"/>
                <w:shd w:val="clear" w:fill="FFFFFF"/>
              </w:rPr>
              <w:t>Documente verificate: </w:t>
            </w:r>
          </w:p>
          <w:p>
            <w:pPr>
              <w:spacing w:line="360" w:lineRule="auto"/>
              <w:ind w:left="0" w:right="0" w:firstLine="493"/>
            </w:pPr>
            <w:r>
              <w:rPr>
                <w:rFonts w:ascii="Cambria" w:hAnsi="Cambria"/>
                <w:b w:val="false"/>
                <w:color w:val="212529"/>
                <w:sz w:val="24"/>
                <w:shd w:val="clear" w:fill="FFFFFF"/>
              </w:rPr>
              <w:t>Actele constitutive ale Solicitantului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212529"/>
                <w:sz w:val="24"/>
                <w:shd w:val="clear" w:fill="FFFFFF"/>
              </w:rPr>
              <w:t>Investiția trebuie să se realizeze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color w:val="212529"/>
                <w:sz w:val="24"/>
                <w:shd w:val="clear" w:fill="FFFFFF"/>
              </w:rPr>
              <w:t>Se va verifica dacă locul de implementare al proiectului este situat în teritoriul 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212529"/>
                <w:sz w:val="24"/>
                <w:shd w:val="clear" w:fill="FFFFFF"/>
              </w:rPr>
              <w:t>Solicitantul nu trebuie să aibă datorii față de GAL și AFIR la data depunerii Cererii de finanțare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color w:val="212529"/>
                <w:sz w:val="24"/>
                <w:shd w:val="clear" w:fill="FFFFFF"/>
              </w:rPr>
              <w:t>Se verifică dacă Solicitantul are datorii față de GAL, documentul justificativ fiind Adresă emisă de către GAL nu mai veche de 30 de zile față de data depunerii.</w:t>
            </w:r>
          </w:p>
          <w:p>
            <w:pPr>
              <w:spacing w:line="360" w:lineRule="auto"/>
              <w:ind w:left="0" w:right="0" w:firstLine="493"/>
            </w:pPr>
            <w:r>
              <w:rPr>
                <w:rFonts w:ascii="Cambria" w:hAnsi="Cambria"/>
                <w:b w:val="false"/>
                <w:color w:val="212529"/>
                <w:sz w:val="24"/>
                <w:shd w:val="clear" w:fill="FFFFFF"/>
              </w:rPr>
              <w:t>Se va verifica dacă Solicitantul nu este înregistrat în Registrul debitorilor AFIR, atât pentru programul SAPARD, cât și pentru FEADR și EURI.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212529"/>
                <w:sz w:val="24"/>
                <w:shd w:val="clear" w:fill="FFFFFF"/>
              </w:rPr>
              <w:t>Solicitantul se angajează să asigure întreținerea/ mentenanța investiției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color w:val="212529"/>
                <w:sz w:val="24"/>
                <w:shd w:val="clear" w:fill="FFFFFF"/>
              </w:rPr>
              <w:t>Se verifică dacă solicitantul a asumat prin declarație pe proprie răspundere obligația de a asigura întreținerea și mentenanța investiției pe perioada de durabilitate prevăzută de legislație și de fișa măsurii.</w:t>
            </w:r>
          </w:p>
          <w:p>
            <w:r>
              <w:rPr>
                <w:rFonts w:ascii="Cambria" w:hAnsi="Cambria"/>
                <w:b w:val="false"/>
                <w:color w:val="212529"/>
                <w:sz w:val="24"/>
                <w:shd w:val="clear" w:fill="FFFFFF"/>
              </w:rPr>
              <w:t>Documente obligatorii: Declarație pe proprie răspundere a solicitantului privind asigurarea întreținerii și mentenanței investiției.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212529"/>
                <w:sz w:val="24"/>
                <w:shd w:val="clear" w:fill="FFFFFF"/>
              </w:rPr>
              <w:t>Investiția trebuie să se încadreze în tipul de sprijin prevăzut prin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color w:val="212529"/>
                <w:sz w:val="24"/>
                <w:shd w:val="clear" w:fill="FFFFFF"/>
              </w:rPr>
              <w:t>Documente obligatorii verificate:</w:t>
            </w:r>
          </w:p>
          <w:p>
            <w:pPr>
              <w:spacing w:line="360" w:lineRule="auto"/>
              <w:ind w:left="0" w:right="0" w:firstLine="493"/>
            </w:pPr>
            <w:r>
              <w:rPr>
                <w:rFonts w:ascii="Cambria" w:hAnsi="Cambria"/>
                <w:b w:val="false"/>
                <w:color w:val="212529"/>
                <w:sz w:val="24"/>
                <w:shd w:val="clear" w:fill="FFFFFF"/>
              </w:rPr>
              <w:t>- Cererea de finanțare -secțiunea E2.1</w:t>
            </w:r>
          </w:p>
          <w:p>
            <w:pPr>
              <w:spacing w:line="360" w:lineRule="auto"/>
              <w:ind w:left="0" w:right="0" w:firstLine="493"/>
            </w:pPr>
            <w:r>
              <w:rPr>
                <w:rFonts w:ascii="Cambria" w:hAnsi="Cambria"/>
                <w:b w:val="false"/>
                <w:color w:val="212529"/>
                <w:sz w:val="24"/>
                <w:shd w:val="clear" w:fill="FFFFFF"/>
              </w:rPr>
              <w:t>- Studiul de fezabilitate/Documentația de Avizare pentru Lucrări și Intervenții/ Memoriu justificativ</w:t>
            </w:r>
          </w:p>
          <w:p>
            <w:pPr>
              <w:spacing w:line="360" w:lineRule="auto"/>
              <w:ind w:left="0" w:right="0" w:firstLine="493"/>
            </w:pPr>
            <w:r>
              <w:rPr>
                <w:rFonts w:ascii="Cambria" w:hAnsi="Cambria"/>
                <w:b w:val="false"/>
                <w:color w:val="212529"/>
                <w:sz w:val="24"/>
                <w:shd w:val="clear" w:fill="FFFFFF"/>
              </w:rPr>
              <w:t>- Certificat de Urbanism- dacă este cazul</w:t>
            </w:r>
          </w:p>
          <w:p>
            <w:pPr>
              <w:spacing w:line="360" w:lineRule="auto"/>
              <w:ind w:left="0" w:right="0" w:firstLine="493"/>
            </w:pPr>
            <w:r>
              <w:rPr>
                <w:rFonts w:ascii="Cambria" w:hAnsi="Cambria"/>
                <w:b w:val="false"/>
                <w:color w:val="212529"/>
                <w:sz w:val="24"/>
                <w:shd w:val="clear" w:fill="FFFFFF"/>
              </w:rPr>
              <w:t>- Aviz emis de către Ministerul culturii - dacă este cazul</w:t>
            </w:r>
          </w:p>
          <w:p>
            <w:pPr>
              <w:spacing w:line="360" w:lineRule="auto"/>
              <w:ind w:left="0" w:right="0" w:firstLine="493"/>
            </w:pPr>
            <w:r>
              <w:rPr>
                <w:rFonts w:ascii="Cambria" w:hAnsi="Cambria"/>
                <w:b w:val="false"/>
                <w:color w:val="212529"/>
                <w:sz w:val="24"/>
                <w:shd w:val="clear" w:fill="FFFFFF"/>
              </w:rPr>
              <w:t>Expertul verifică în baza informaţiilor din Cererea de Finanţare şi SF/DALI/Memoriul justificativ dacă investiția se încadrează în cel puțin unul din tipurile de acțiuni eligibile precizate în fișa intervenției secțiunea Acțiuni eligibile.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212529"/>
                <w:sz w:val="24"/>
                <w:shd w:val="clear" w:fill="FFFFFF"/>
              </w:rPr>
              <w:t>Bugetul proiectului se încadrează în sumele disponibile la nivelul măsurii / intervenției în momentul lansării apelului de primire a proiectelor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color w:val="212529"/>
                <w:sz w:val="24"/>
                <w:shd w:val="clear" w:fill="FFFFFF"/>
              </w:rPr>
              <w:t>Se verifică valoarea totală a proiectului propus în cererea de finanțare și în bugetul anexat, prin raportare la plafonul maxim și la disponibilul financiar stabilit prin apelul de selecție.</w:t>
            </w:r>
          </w:p>
          <w:p>
            <w:pPr>
              <w:spacing w:line="360" w:lineRule="auto"/>
              <w:ind w:left="0" w:right="0" w:firstLine="493"/>
            </w:pPr>
            <w:r>
              <w:rPr>
                <w:rFonts w:ascii="Cambria" w:hAnsi="Cambria"/>
                <w:b w:val="false"/>
                <w:color w:val="212529"/>
                <w:sz w:val="24"/>
                <w:shd w:val="clear" w:fill="FFFFFF"/>
              </w:rPr>
              <w:t>Documente obligatorii: Bugetul proiectului, Cererea de finanțare și, după caz, Studiul de fezabilitate/Documentația tehnico-economică</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clasificate dupa tipul investitiei;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212529"/>
                <w:sz w:val="24"/>
                <w:shd w:val="clear" w:fill="FFFFFF"/>
              </w:rPr>
              <w:t>CS 1.1</w:t>
            </w:r>
          </w:p>
        </w:tc>
        <w:tc>
          <w:tcPr>
            <w:shd w:val="clear" w:color="auto" w:fill="F8ECD2"/>
            <w:vAlign w:val="center"/>
          </w:tcPr>
          <w:p>
            <w:r>
              <w:rPr>
                <w:rFonts w:ascii="Cambria" w:hAnsi="Cambria"/>
                <w:b w:val="false"/>
                <w:color w:val="212529"/>
                <w:sz w:val="24"/>
                <w:shd w:val="clear" w:fill="FFFFFF"/>
              </w:rPr>
              <w:t>Proiecte care vizează investiții în înființarea, amenajarea spațiilor publice pentru populația rurală: spații verzi, parcuri, locuri de joacă pentru copii etc.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Studiul de fezabilitate/ Memoriul justificativ/DALI sunt prevăzute investiții în înființarea, amenajarea spațiilor publice pentru populația rurală: spații verzi, parcuri, locuri de joacă pentru copii etc.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212529"/>
                <w:sz w:val="24"/>
                <w:shd w:val="clear" w:fill="FFFFFF"/>
              </w:rPr>
              <w:t>CS 1.2</w:t>
            </w:r>
          </w:p>
        </w:tc>
        <w:tc>
          <w:tcPr>
            <w:shd w:val="clear" w:color="auto" w:fill="F8ECD2"/>
            <w:vAlign w:val="center"/>
          </w:tcPr>
          <w:p>
            <w:r>
              <w:rPr>
                <w:rFonts w:ascii="Cambria" w:hAnsi="Cambria"/>
                <w:b w:val="false"/>
                <w:color w:val="212529"/>
                <w:sz w:val="24"/>
                <w:shd w:val="clear" w:fill="FFFFFF"/>
              </w:rPr>
              <w:t>Proiecte care vizează învestiții în înființarea și/sau modernizarea de săli și terenuri de sport </w:t>
            </w:r>
          </w:p>
        </w:tc>
        <w:tc>
          <w:tcPr>
            <w:vAlign w:val="center"/>
          </w:tcPr>
          <w:p>
            <w:pPr>
              <w:keepNext/>
              <w:jc w:val="center"/>
            </w:pPr>
            <w:r>
              <w:rPr>
                <w:rFonts w:ascii="Cambria" w:hAnsi="Cambria"/>
                <w:b w:val="false"/>
                <w:sz w:val="24"/>
              </w:rPr>
              <w:t>35</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Studiul de fezabilitate/ Memoriul justificativ/DALI sunt prevăzute investiții în înființarea și/sau modernizarea de săli și terenuri de sport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212529"/>
                <w:sz w:val="24"/>
                <w:shd w:val="clear" w:fill="FFFFFF"/>
              </w:rPr>
              <w:t>CS 1.3 </w:t>
            </w:r>
          </w:p>
        </w:tc>
        <w:tc>
          <w:tcPr>
            <w:shd w:val="clear" w:color="auto" w:fill="F8ECD2"/>
            <w:vAlign w:val="center"/>
          </w:tcPr>
          <w:p>
            <w:r>
              <w:rPr>
                <w:rFonts w:ascii="Cambria" w:hAnsi="Cambria"/>
                <w:b w:val="false"/>
                <w:color w:val="212529"/>
                <w:sz w:val="24"/>
                <w:shd w:val="clear" w:fill="FFFFFF"/>
              </w:rPr>
              <w:t>Proiecte care vizează învestiții în achiziționarea mașinilor, utilajelor și echipamentelor pentru serviciile publice locale din cadrul primăriilor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Studiul de fezabilitate/ Memoriul justificativ/DALI sunt prevăzute investiții în achiziționarea mașinilor, utilajelor și echipamentelor pentru serviciile publice locale din cadrul primăriilor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cu impact major in comunitate;</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212529"/>
                <w:sz w:val="24"/>
                <w:shd w:val="clear" w:fill="FFFFFF"/>
              </w:rPr>
              <w:t>CS 2.1 </w:t>
            </w:r>
          </w:p>
        </w:tc>
        <w:tc>
          <w:tcPr>
            <w:shd w:val="clear" w:color="auto" w:fill="F8ECD2"/>
            <w:vAlign w:val="center"/>
          </w:tcPr>
          <w:p>
            <w:r>
              <w:rPr>
                <w:rFonts w:ascii="Cambria" w:hAnsi="Cambria"/>
                <w:b w:val="false"/>
                <w:color w:val="212529"/>
                <w:sz w:val="24"/>
                <w:shd w:val="clear" w:fill="FFFFFF"/>
              </w:rPr>
              <w:t>Proiecte care deservesc 100% din populația comunei/comunelor beneficiare ale proiectelor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Hotărârea Consiliului Local/Hotărârea Adunării Generale numărul de populație deservită de proiect, raportat la populația totală a comunei/comunelor beneficiare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212529"/>
                <w:sz w:val="24"/>
                <w:shd w:val="clear" w:fill="FFFFFF"/>
              </w:rPr>
              <w:t>CS 2.2 </w:t>
            </w:r>
          </w:p>
        </w:tc>
        <w:tc>
          <w:tcPr>
            <w:shd w:val="clear" w:color="auto" w:fill="F8ECD2"/>
            <w:vAlign w:val="center"/>
          </w:tcPr>
          <w:p>
            <w:r>
              <w:rPr>
                <w:rFonts w:ascii="Cambria" w:hAnsi="Cambria"/>
                <w:b w:val="false"/>
                <w:color w:val="212529"/>
                <w:sz w:val="24"/>
                <w:shd w:val="clear" w:fill="FFFFFF"/>
              </w:rPr>
              <w:t>Proiecte care deservesc un procent cuprins între 75% (inclusiv) și 99,99% din populația  </w:t>
            </w:r>
            <w:r>
              <w:rPr>
                <w:rFonts w:ascii="Cambria" w:hAnsi="Cambria"/>
                <w:b w:val="false"/>
                <w:color w:val="212529"/>
                <w:sz w:val="24"/>
                <w:shd w:val="clear" w:fill="FFFFFF"/>
              </w:rPr>
              <w:t>comunei/comunelor beneficiare ale proiectelor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Hotărârea Consiliului Local/Hotărârea Adunării Generale numărul de populație deservită de proiect, raportat la populația totală a comunei/comunelor beneficiare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212529"/>
                <w:sz w:val="24"/>
                <w:shd w:val="clear" w:fill="FFFFFF"/>
              </w:rPr>
              <w:t>CS 2.3 </w:t>
            </w:r>
          </w:p>
        </w:tc>
        <w:tc>
          <w:tcPr>
            <w:shd w:val="clear" w:color="auto" w:fill="F8ECD2"/>
            <w:vAlign w:val="center"/>
          </w:tcPr>
          <w:p>
            <w:r>
              <w:rPr>
                <w:rFonts w:ascii="Cambria" w:hAnsi="Cambria"/>
                <w:b w:val="false"/>
                <w:color w:val="212529"/>
                <w:sz w:val="24"/>
                <w:shd w:val="clear" w:fill="FFFFFF"/>
              </w:rPr>
              <w:t>Proiecte care deservesc un procent cuprins între 50% (inclusiv) și 74,99% din populația  </w:t>
            </w:r>
            <w:r>
              <w:rPr>
                <w:rFonts w:ascii="Cambria" w:hAnsi="Cambria"/>
                <w:b w:val="false"/>
                <w:color w:val="212529"/>
                <w:sz w:val="24"/>
                <w:shd w:val="clear" w:fill="FFFFFF"/>
              </w:rPr>
              <w:t>comunei/comunelor beneficiare ale proiectelor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Hotărârea Consiliului Local/Hotărârea Adunării Generale numărul de populație deservită de proiect, raportat la populația totală a comunei/comunelor beneficiare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2.4  </w:t>
            </w:r>
          </w:p>
        </w:tc>
        <w:tc>
          <w:tcPr>
            <w:shd w:val="clear" w:color="auto" w:fill="F8ECD2"/>
            <w:vAlign w:val="center"/>
          </w:tcPr>
          <w:p>
            <w:r>
              <w:rPr>
                <w:rFonts w:ascii="Cambria" w:hAnsi="Cambria"/>
                <w:b w:val="false"/>
                <w:color w:val="212529"/>
                <w:sz w:val="24"/>
                <w:shd w:val="clear" w:fill="FFFFFF"/>
              </w:rPr>
              <w:t>Proiecte care deservesc un procent cuprins sub 49,99% (inclusiv) din populația  </w:t>
            </w:r>
            <w:r>
              <w:rPr>
                <w:rFonts w:ascii="Cambria" w:hAnsi="Cambria"/>
                <w:b w:val="false"/>
                <w:color w:val="212529"/>
                <w:sz w:val="24"/>
                <w:shd w:val="clear" w:fill="FFFFFF"/>
              </w:rPr>
              <w:t>comunei/comunelor beneficiare ale proiectelor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Hotărârea Consiliului Local/Hotărârea Adunării Generale numărul de populație deservită de proiect, raportat la populația totală a comunei/comunelor beneficiare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implica un proces de digitalizare la nivel local</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212529"/>
                <w:sz w:val="24"/>
                <w:shd w:val="clear" w:fill="FFFFFF"/>
              </w:rPr>
              <w:t>CS 3.1 </w:t>
            </w:r>
          </w:p>
        </w:tc>
        <w:tc>
          <w:tcPr>
            <w:shd w:val="clear" w:color="auto" w:fill="F8ECD2"/>
            <w:vAlign w:val="center"/>
          </w:tcPr>
          <w:p>
            <w:r>
              <w:rPr>
                <w:rFonts w:ascii="Cambria" w:hAnsi="Cambria"/>
                <w:b w:val="false"/>
                <w:color w:val="212529"/>
                <w:sz w:val="24"/>
                <w:shd w:val="clear" w:fill="FFFFFF"/>
              </w:rPr>
              <w:t>Proiecte care propun soluții simple de digitalizare (de ex: achiziție echipamente IT, achiziția și implementarea unui sistem de arhivare electronică a documentelor, introducerea semnăturii electronice pentru angajați, digitalizarea fluxurilor interne -  registratură electronică, circuit electronic al documentelor etc.)</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Bugetul Cererii de finanțare/Devizul general, se alocă buget pentru soluții simple de digitalizare.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212529"/>
                <w:sz w:val="24"/>
                <w:shd w:val="clear" w:fill="FFFFFF"/>
              </w:rPr>
              <w:t>CS 3.2 </w:t>
            </w:r>
          </w:p>
        </w:tc>
        <w:tc>
          <w:tcPr>
            <w:shd w:val="clear" w:color="auto" w:fill="F8ECD2"/>
            <w:vAlign w:val="center"/>
          </w:tcPr>
          <w:p>
            <w:r>
              <w:rPr>
                <w:rFonts w:ascii="Cambria" w:hAnsi="Cambria"/>
                <w:b w:val="false"/>
                <w:color w:val="212529"/>
                <w:sz w:val="24"/>
                <w:shd w:val="clear" w:fill="FFFFFF"/>
              </w:rPr>
              <w:t>Proiecte care propun soluții complexe de digitalizare (de ex:  </w:t>
            </w:r>
            <w:r>
              <w:rPr>
                <w:rFonts w:ascii="Cambria" w:hAnsi="Cambria"/>
                <w:b w:val="false"/>
                <w:color w:val="212529"/>
                <w:sz w:val="24"/>
                <w:shd w:val="clear" w:fill="FFFFFF"/>
              </w:rPr>
              <w:t>dezvoltarea unui portal online pentru cetățeni - plata taxelor și impozitelor, depunerea cererilor, eliberarea online a documentelor, integrarea cu platforme naționale-ex. ghișeul.ro, registrul agricol electronic, soluții de tip smart village -iluminat inteligent, parcare inteligentă, senzori de monitorizare a mediului etc.)</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Bugetul Cererii de finanțare/Devizul general, se alocă buget pentru soluții complexe de digitalizare.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Proiecte care cuprind achizitii si dotari cu echipamente specifice energiei verzi, inclusiv biomasa.</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212529"/>
                <w:sz w:val="24"/>
                <w:shd w:val="clear" w:fill="FFFFFF"/>
              </w:rPr>
              <w:t>CS 4.1 </w:t>
            </w:r>
          </w:p>
        </w:tc>
        <w:tc>
          <w:tcPr>
            <w:shd w:val="clear" w:color="auto" w:fill="F8ECD2"/>
            <w:vAlign w:val="center"/>
          </w:tcPr>
          <w:p>
            <w:r>
              <w:rPr>
                <w:rFonts w:ascii="Cambria" w:hAnsi="Cambria"/>
                <w:b w:val="false"/>
                <w:color w:val="212529"/>
                <w:sz w:val="24"/>
                <w:shd w:val="clear" w:fill="FFFFFF"/>
              </w:rPr>
              <w:t>Proiecte care alocă un procent de peste 10% (inclusiv) pentru achiziții și dotări cu echipamente specifice energiei verzi, inclusiv biomasă</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Bugetul Cererii de finanțare/Devizul general, se alocă un procent de peste 10% (inclusiv) pentru achiziții și dotări cu echipamente specifice energiei verzi, inclusiv biomasă, din valoarea totală eligibilă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212529"/>
                <w:sz w:val="24"/>
                <w:shd w:val="clear" w:fill="FFFFFF"/>
              </w:rPr>
              <w:t>CS 4.2 </w:t>
            </w:r>
          </w:p>
        </w:tc>
        <w:tc>
          <w:tcPr>
            <w:shd w:val="clear" w:color="auto" w:fill="F8ECD2"/>
            <w:vAlign w:val="center"/>
          </w:tcPr>
          <w:p>
            <w:r>
              <w:rPr>
                <w:rFonts w:ascii="Cambria" w:hAnsi="Cambria"/>
                <w:b w:val="false"/>
                <w:color w:val="212529"/>
                <w:sz w:val="24"/>
                <w:shd w:val="clear" w:fill="FFFFFF"/>
              </w:rPr>
              <w:t>Proiecte care alocă un procent sub 9,99% (inclusiv) pentru achiziții și dotări cu echipamente specifice energiei verzi, inclusiv biomasă</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în baza informațiilor prezentate în secțiunea E2.2 din Cererea de finanțare, dacă în Bugetul Cererii de finanțare/Devizul general, se alocă un procent de sub 9% (inclusiv) pentru achiziții și dotări cu echipamente specifice energiei verzi, inclusiv biomasă, din valoarea totală eligibilă a proiectului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212529"/>
                <w:sz w:val="24"/>
                <w:shd w:val="clear" w:fill="FFFFFF"/>
              </w:rPr>
              <w:t>Numărul de persoane deservite în proiectul propus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informațiile prezentate în secțiunea E2.3 din Cererea de finanțare și Hotărîrea Consiliului Local/Hotărîrea Adunării Generale referitoare la numărul de persoane deservite de proiect. În cazul proiectelor cu punctaj egal vor avea prioritate proiectele care deservesc un număr mai mare de populație rurală,  </w:t>
            </w:r>
            <w:r>
              <w:rPr>
                <w:rFonts w:ascii="Cambria" w:hAnsi="Cambria"/>
                <w:b w:val="false"/>
                <w:sz w:val="24"/>
              </w:rPr>
              <w:t>în valori absolute.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212529"/>
                <w:sz w:val="24"/>
                <w:shd w:val="clear" w:fill="FFFFFF"/>
              </w:rPr>
              <w:t>Valoarea finanțării solicitate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color w:val="212529"/>
                <w:sz w:val="24"/>
                <w:shd w:val="clear" w:fill="FFFFFF"/>
              </w:rPr>
              <w:t>Se verifică informațiile prezentate în secțiunea E2.3 din Cererea de finanțare  și bugetul proiectului. În cazul proiectelor cu punctaj egal vor avea prioritate proiectele care au o valoare mai mică a finanțării nerambursabile.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c73c0023a3e4bdd" /></Relationships>
</file>